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CB" w:rsidRDefault="00151ACB" w:rsidP="00E67C5C">
      <w:pPr>
        <w:tabs>
          <w:tab w:val="left" w:pos="407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62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608"/>
        <w:gridCol w:w="2477"/>
        <w:gridCol w:w="1695"/>
        <w:gridCol w:w="1457"/>
        <w:gridCol w:w="1237"/>
        <w:gridCol w:w="39"/>
        <w:gridCol w:w="1508"/>
        <w:gridCol w:w="2178"/>
        <w:gridCol w:w="1519"/>
        <w:gridCol w:w="573"/>
        <w:gridCol w:w="588"/>
        <w:gridCol w:w="236"/>
        <w:gridCol w:w="735"/>
        <w:gridCol w:w="196"/>
        <w:gridCol w:w="337"/>
        <w:gridCol w:w="352"/>
        <w:gridCol w:w="446"/>
      </w:tblGrid>
      <w:tr w:rsidR="008A30CE" w:rsidRPr="00207B2D" w:rsidTr="007A52A9">
        <w:trPr>
          <w:gridAfter w:val="1"/>
          <w:wAfter w:w="446" w:type="dxa"/>
          <w:trHeight w:val="570"/>
        </w:trPr>
        <w:tc>
          <w:tcPr>
            <w:tcW w:w="158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30CE" w:rsidRDefault="008A30CE" w:rsidP="008A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ОТЧЕТ О РАСХОДОВАНИИ СРЕДСТВ НА ИНФОРМАЦИОННОЕ СОПРОВОЖДЕНИЕ ДЕЯТЕЛЬНОСТИ </w:t>
            </w:r>
            <w:r w:rsidRPr="00207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ФЕДЕРАЛЬНОГО ОРГАНА ИСПОЛНИТЕЛЬНОЙ ВЛАСТИ </w:t>
            </w:r>
          </w:p>
          <w:p w:rsidR="008A30CE" w:rsidRPr="00207B2D" w:rsidRDefault="008A30CE" w:rsidP="008A30CE">
            <w:pPr>
              <w:spacing w:after="0" w:line="240" w:lineRule="auto"/>
              <w:jc w:val="center"/>
            </w:pPr>
          </w:p>
          <w:p w:rsidR="008A30CE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>Таблица № 2.2. Сведения о реализованных мероприятиях по информационному сопровождению деятельности федерального органа исполнительной власти</w:t>
            </w:r>
          </w:p>
          <w:p w:rsidR="008A30CE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A30CE" w:rsidRPr="001E2211" w:rsidRDefault="001E2211" w:rsidP="008D27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1E2211">
              <w:rPr>
                <w:rFonts w:ascii="Times New Roman" w:hAnsi="Times New Roman"/>
                <w:sz w:val="24"/>
                <w:szCs w:val="28"/>
              </w:rPr>
              <w:t>с</w:t>
            </w:r>
            <w:r w:rsidRPr="001E2211">
              <w:rPr>
                <w:rFonts w:ascii="Times New Roman" w:hAnsi="Times New Roman"/>
                <w:sz w:val="24"/>
                <w:szCs w:val="28"/>
                <w:u w:val="single"/>
              </w:rPr>
              <w:t xml:space="preserve"> 1 </w:t>
            </w:r>
            <w:r w:rsidR="008A30CE" w:rsidRPr="001E2211">
              <w:rPr>
                <w:rFonts w:ascii="Times New Roman" w:hAnsi="Times New Roman"/>
                <w:sz w:val="24"/>
                <w:szCs w:val="28"/>
                <w:u w:val="single"/>
              </w:rPr>
              <w:t>января 201</w:t>
            </w:r>
            <w:r w:rsidR="008D2736">
              <w:rPr>
                <w:rFonts w:ascii="Times New Roman" w:hAnsi="Times New Roman"/>
                <w:sz w:val="24"/>
                <w:szCs w:val="28"/>
                <w:u w:val="single"/>
              </w:rPr>
              <w:t>7</w:t>
            </w:r>
            <w:r w:rsidR="008A30CE" w:rsidRPr="001E2211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года</w:t>
            </w:r>
            <w:r w:rsidRPr="001E2211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по 31 декабря 201</w:t>
            </w:r>
            <w:r w:rsidR="008D2736">
              <w:rPr>
                <w:rFonts w:ascii="Times New Roman" w:hAnsi="Times New Roman"/>
                <w:sz w:val="24"/>
                <w:szCs w:val="28"/>
                <w:u w:val="single"/>
              </w:rPr>
              <w:t>7</w:t>
            </w:r>
          </w:p>
        </w:tc>
      </w:tr>
      <w:tr w:rsidR="008A30CE" w:rsidRPr="00207B2D" w:rsidTr="00093774">
        <w:trPr>
          <w:gridAfter w:val="14"/>
          <w:wAfter w:w="11401" w:type="dxa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0CE" w:rsidRPr="00207B2D" w:rsidRDefault="008A30CE" w:rsidP="008A30CE">
            <w:pPr>
              <w:spacing w:after="0" w:line="240" w:lineRule="auto"/>
              <w:jc w:val="right"/>
            </w:pPr>
          </w:p>
        </w:tc>
      </w:tr>
      <w:tr w:rsidR="008A30CE" w:rsidRPr="008A30CE" w:rsidTr="00093774">
        <w:trPr>
          <w:gridAfter w:val="8"/>
          <w:wAfter w:w="3463" w:type="dxa"/>
          <w:trHeight w:val="335"/>
        </w:trPr>
        <w:tc>
          <w:tcPr>
            <w:tcW w:w="758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A30CE" w:rsidRPr="001E2211" w:rsidRDefault="00495E95" w:rsidP="008A3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11">
              <w:rPr>
                <w:rFonts w:ascii="Times New Roman" w:hAnsi="Times New Roman"/>
              </w:rPr>
              <w:t>Наименование федерального органа исполнительной власти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0CE" w:rsidRPr="001E2211" w:rsidRDefault="008A30CE" w:rsidP="00F130ED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u w:val="single"/>
              </w:rPr>
            </w:pPr>
            <w:r w:rsidRPr="001E2211">
              <w:rPr>
                <w:rFonts w:ascii="Times New Roman" w:hAnsi="Times New Roman"/>
                <w:u w:val="single"/>
              </w:rPr>
              <w:t>Ф</w:t>
            </w:r>
            <w:r w:rsidR="001E2211" w:rsidRPr="001E2211">
              <w:rPr>
                <w:rFonts w:ascii="Times New Roman" w:hAnsi="Times New Roman"/>
                <w:u w:val="single"/>
              </w:rPr>
              <w:t xml:space="preserve">едеральная налоговая служба </w:t>
            </w:r>
            <w:r w:rsidR="001E2211">
              <w:rPr>
                <w:rFonts w:ascii="Times New Roman" w:hAnsi="Times New Roman"/>
                <w:u w:val="single"/>
              </w:rPr>
              <w:t>(код ОКОГУ 1327010)</w:t>
            </w:r>
          </w:p>
        </w:tc>
      </w:tr>
      <w:tr w:rsidR="00A5064B" w:rsidRPr="00207B2D" w:rsidTr="00093774"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207B2D" w:rsidRDefault="00A5064B" w:rsidP="00F13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Периодичность:  </w:t>
            </w:r>
            <w:r w:rsidR="00F130ED">
              <w:rPr>
                <w:rFonts w:ascii="Times New Roman" w:hAnsi="Times New Roman"/>
                <w:sz w:val="20"/>
                <w:szCs w:val="20"/>
                <w:lang w:eastAsia="ru-RU"/>
              </w:rPr>
              <w:t>ежегодная</w:t>
            </w:r>
          </w:p>
        </w:tc>
        <w:tc>
          <w:tcPr>
            <w:tcW w:w="1196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</w:tr>
      <w:tr w:rsidR="00A5064B" w:rsidRPr="00207B2D" w:rsidTr="00093774">
        <w:trPr>
          <w:gridAfter w:val="5"/>
          <w:wAfter w:w="2066" w:type="dxa"/>
        </w:trPr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</w:tcPr>
          <w:p w:rsidR="00A5064B" w:rsidRPr="00207B2D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485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30ED" w:rsidRPr="00207B2D" w:rsidTr="00375638">
        <w:trPr>
          <w:gridAfter w:val="1"/>
          <w:wAfter w:w="446" w:type="dxa"/>
        </w:trPr>
        <w:tc>
          <w:tcPr>
            <w:tcW w:w="716" w:type="dxa"/>
            <w:gridSpan w:val="2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77" w:type="dxa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5" w:type="dxa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Ответственное структурное подразделение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(заказчик / исполнитель)</w:t>
            </w:r>
          </w:p>
        </w:tc>
        <w:tc>
          <w:tcPr>
            <w:tcW w:w="1457" w:type="dxa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Целевая аудитория</w:t>
            </w:r>
          </w:p>
        </w:tc>
        <w:tc>
          <w:tcPr>
            <w:tcW w:w="1276" w:type="dxa"/>
            <w:gridSpan w:val="2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686" w:type="dxa"/>
            <w:gridSpan w:val="2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2092" w:type="dxa"/>
            <w:gridSpan w:val="2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Основные показатели</w:t>
            </w:r>
          </w:p>
        </w:tc>
        <w:tc>
          <w:tcPr>
            <w:tcW w:w="1559" w:type="dxa"/>
            <w:gridSpan w:val="3"/>
          </w:tcPr>
          <w:p w:rsidR="00A5064B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расходов </w:t>
            </w:r>
          </w:p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(рубли)</w:t>
            </w:r>
          </w:p>
        </w:tc>
        <w:tc>
          <w:tcPr>
            <w:tcW w:w="885" w:type="dxa"/>
            <w:gridSpan w:val="3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расходов по БК</w:t>
            </w:r>
          </w:p>
        </w:tc>
      </w:tr>
      <w:tr w:rsidR="00F130ED" w:rsidRPr="00207B2D" w:rsidTr="00375638">
        <w:trPr>
          <w:gridAfter w:val="1"/>
          <w:wAfter w:w="446" w:type="dxa"/>
        </w:trPr>
        <w:tc>
          <w:tcPr>
            <w:tcW w:w="716" w:type="dxa"/>
            <w:gridSpan w:val="2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vAlign w:val="bottom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bottom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A5064B" w:rsidRPr="00207B2D" w:rsidRDefault="00A5064B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2"/>
          </w:tcPr>
          <w:p w:rsidR="00A5064B" w:rsidRPr="00207B2D" w:rsidRDefault="00A5064B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2" w:type="dxa"/>
            <w:gridSpan w:val="2"/>
          </w:tcPr>
          <w:p w:rsidR="00A5064B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</w:tcPr>
          <w:p w:rsidR="00A5064B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5" w:type="dxa"/>
            <w:gridSpan w:val="3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130ED" w:rsidRPr="00207B2D" w:rsidTr="00375638">
        <w:trPr>
          <w:gridAfter w:val="1"/>
          <w:wAfter w:w="446" w:type="dxa"/>
        </w:trPr>
        <w:tc>
          <w:tcPr>
            <w:tcW w:w="716" w:type="dxa"/>
            <w:gridSpan w:val="2"/>
          </w:tcPr>
          <w:p w:rsidR="00A43622" w:rsidRPr="00EC7996" w:rsidRDefault="00A43622" w:rsidP="00F13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799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2477" w:type="dxa"/>
          </w:tcPr>
          <w:p w:rsidR="00A43622" w:rsidRPr="00EC7996" w:rsidRDefault="00A43622" w:rsidP="00C7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79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Информирование целевых аудиторий в рамках реализации </w:t>
            </w:r>
            <w:r w:rsidR="00C778D9" w:rsidRPr="00EC79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государственных программ, </w:t>
            </w:r>
            <w:r w:rsidRPr="00EC79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федеральных целевых программ</w:t>
            </w:r>
          </w:p>
        </w:tc>
        <w:tc>
          <w:tcPr>
            <w:tcW w:w="1695" w:type="dxa"/>
          </w:tcPr>
          <w:p w:rsidR="00A43622" w:rsidRPr="005E0862" w:rsidRDefault="0095359C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Аналитическое управление/Управление информационных технологий</w:t>
            </w:r>
          </w:p>
        </w:tc>
        <w:tc>
          <w:tcPr>
            <w:tcW w:w="1457" w:type="dxa"/>
          </w:tcPr>
          <w:p w:rsidR="00A43622" w:rsidRPr="005E0862" w:rsidRDefault="0095359C" w:rsidP="00B00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CE2"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  <w:gridSpan w:val="2"/>
          </w:tcPr>
          <w:p w:rsidR="00A43622" w:rsidRPr="005E0862" w:rsidRDefault="0095359C" w:rsidP="00BA1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3686" w:type="dxa"/>
            <w:gridSpan w:val="2"/>
          </w:tcPr>
          <w:p w:rsidR="00A43622" w:rsidRPr="005E0862" w:rsidRDefault="0095359C" w:rsidP="00112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Детальный план-график реализации Государственной программы Российской Федерации «Управление государственными финансами и регулирование финансовых рынков» на 2017 год и на плановый период 2018-2019 годов» (утвержден приказом Минфина России от 18.04.2017 № 313) в части, относящейся к компетенции ФНС России</w:t>
            </w:r>
            <w:r w:rsidR="00112F7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будет размещен на сайте ФНС России</w:t>
            </w:r>
            <w:r w:rsidR="00112F72">
              <w:rPr>
                <w:rFonts w:ascii="Times New Roman" w:hAnsi="Times New Roman"/>
                <w:sz w:val="20"/>
                <w:szCs w:val="20"/>
              </w:rPr>
              <w:t xml:space="preserve"> по результатам внесения изменений</w:t>
            </w:r>
          </w:p>
        </w:tc>
        <w:tc>
          <w:tcPr>
            <w:tcW w:w="2092" w:type="dxa"/>
            <w:gridSpan w:val="2"/>
          </w:tcPr>
          <w:p w:rsidR="00A43622" w:rsidRPr="005E0862" w:rsidRDefault="00330433" w:rsidP="00AD1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</w:tcPr>
          <w:p w:rsidR="00A43622" w:rsidRPr="00207B2D" w:rsidRDefault="00330433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3"/>
          </w:tcPr>
          <w:p w:rsidR="00A43622" w:rsidRPr="00207B2D" w:rsidRDefault="00330433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30ED" w:rsidRPr="00207B2D" w:rsidTr="00375638">
        <w:trPr>
          <w:gridAfter w:val="1"/>
          <w:wAfter w:w="446" w:type="dxa"/>
          <w:trHeight w:val="286"/>
        </w:trPr>
        <w:tc>
          <w:tcPr>
            <w:tcW w:w="716" w:type="dxa"/>
            <w:gridSpan w:val="2"/>
          </w:tcPr>
          <w:p w:rsidR="00A43622" w:rsidRPr="00EC7996" w:rsidRDefault="00A43622" w:rsidP="00F13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799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II.</w:t>
            </w:r>
          </w:p>
        </w:tc>
        <w:tc>
          <w:tcPr>
            <w:tcW w:w="2477" w:type="dxa"/>
            <w:vAlign w:val="bottom"/>
          </w:tcPr>
          <w:p w:rsidR="00A43622" w:rsidRPr="00EC7996" w:rsidRDefault="00A43622" w:rsidP="00A436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79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Реализация комплексных информационных кампаний в целях поддержки реализации положений указов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C7996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2012 г</w:t>
              </w:r>
            </w:smartTag>
            <w:r w:rsidRPr="00EC79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., основных направлений деятельности Правительства Российской Федерации, </w:t>
            </w:r>
            <w:r w:rsidRPr="00EC79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целей и задач федерального органа исполнительной власти</w:t>
            </w:r>
          </w:p>
        </w:tc>
        <w:tc>
          <w:tcPr>
            <w:tcW w:w="1695" w:type="dxa"/>
          </w:tcPr>
          <w:p w:rsidR="00A43622" w:rsidRPr="000461F4" w:rsidRDefault="004F6CE2" w:rsidP="006F2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Управления центрального аппарата ФНС России</w:t>
            </w:r>
          </w:p>
        </w:tc>
        <w:tc>
          <w:tcPr>
            <w:tcW w:w="1457" w:type="dxa"/>
          </w:tcPr>
          <w:p w:rsidR="00A43622" w:rsidRPr="00B71A7C" w:rsidRDefault="004F6CE2" w:rsidP="00E930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6CE2"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  <w:gridSpan w:val="2"/>
          </w:tcPr>
          <w:p w:rsidR="00A43622" w:rsidRPr="004F6CE2" w:rsidRDefault="004F6CE2" w:rsidP="00A17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2017</w:t>
            </w:r>
          </w:p>
        </w:tc>
        <w:tc>
          <w:tcPr>
            <w:tcW w:w="3686" w:type="dxa"/>
            <w:gridSpan w:val="2"/>
          </w:tcPr>
          <w:p w:rsidR="00A43622" w:rsidRPr="00207B2D" w:rsidRDefault="004F6CE2" w:rsidP="0095359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CE2">
              <w:rPr>
                <w:rFonts w:ascii="Times New Roman" w:hAnsi="Times New Roman"/>
                <w:sz w:val="20"/>
                <w:szCs w:val="20"/>
              </w:rPr>
              <w:t>Публичная декларация ФНС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2017 год</w:t>
            </w:r>
            <w:r w:rsidRPr="004F6CE2">
              <w:rPr>
                <w:rFonts w:ascii="Times New Roman" w:hAnsi="Times New Roman"/>
                <w:sz w:val="20"/>
                <w:szCs w:val="20"/>
              </w:rPr>
              <w:t>, отражающая основные задачи и цели Службы, размещена на сайте ФНС России</w:t>
            </w:r>
          </w:p>
        </w:tc>
        <w:tc>
          <w:tcPr>
            <w:tcW w:w="2092" w:type="dxa"/>
            <w:gridSpan w:val="2"/>
          </w:tcPr>
          <w:p w:rsidR="00A43622" w:rsidRPr="00BD1418" w:rsidRDefault="004F6CE2" w:rsidP="00AD1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A43622" w:rsidRPr="00BD1418" w:rsidRDefault="004F6CE2" w:rsidP="00330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3"/>
          </w:tcPr>
          <w:p w:rsidR="00A43622" w:rsidRPr="00207B2D" w:rsidRDefault="004F6CE2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30ED" w:rsidRPr="00207B2D" w:rsidTr="000E0AC8">
        <w:trPr>
          <w:gridAfter w:val="1"/>
          <w:wAfter w:w="446" w:type="dxa"/>
        </w:trPr>
        <w:tc>
          <w:tcPr>
            <w:tcW w:w="716" w:type="dxa"/>
            <w:gridSpan w:val="2"/>
          </w:tcPr>
          <w:p w:rsidR="00A43622" w:rsidRPr="00EC7996" w:rsidRDefault="00A43622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C799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III.</w:t>
            </w:r>
          </w:p>
        </w:tc>
        <w:tc>
          <w:tcPr>
            <w:tcW w:w="2477" w:type="dxa"/>
          </w:tcPr>
          <w:p w:rsidR="00A43622" w:rsidRPr="00EC7996" w:rsidRDefault="00A43622" w:rsidP="005D1E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79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Информирование целевых аудиторий о текущей деятельности </w:t>
            </w:r>
            <w:r w:rsidR="00B00FE8" w:rsidRPr="00EC79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ФНС России </w:t>
            </w:r>
          </w:p>
        </w:tc>
        <w:tc>
          <w:tcPr>
            <w:tcW w:w="1695" w:type="dxa"/>
          </w:tcPr>
          <w:p w:rsidR="00A43622" w:rsidRPr="000461F4" w:rsidRDefault="004F6CE2" w:rsidP="0004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</w:t>
            </w:r>
            <w:r w:rsidR="00375638">
              <w:rPr>
                <w:rFonts w:ascii="Times New Roman" w:hAnsi="Times New Roman"/>
                <w:sz w:val="20"/>
                <w:szCs w:val="20"/>
                <w:lang w:eastAsia="ru-RU"/>
              </w:rPr>
              <w:t>ения центрального аппарата ФНС 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оссии</w:t>
            </w:r>
          </w:p>
        </w:tc>
        <w:tc>
          <w:tcPr>
            <w:tcW w:w="1457" w:type="dxa"/>
          </w:tcPr>
          <w:p w:rsidR="00A43622" w:rsidRPr="00B00FE8" w:rsidRDefault="004F6CE2" w:rsidP="00B00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CE2"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  <w:gridSpan w:val="2"/>
          </w:tcPr>
          <w:p w:rsidR="00A43622" w:rsidRPr="000461F4" w:rsidRDefault="004F6CE2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E315DD" w:rsidRDefault="004F6CE2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п</w:t>
            </w:r>
            <w:r w:rsidR="00375638">
              <w:rPr>
                <w:rFonts w:ascii="Times New Roman" w:hAnsi="Times New Roman"/>
                <w:sz w:val="20"/>
                <w:szCs w:val="20"/>
              </w:rPr>
              <w:t>овышения уровня открытости ФНС Р</w:t>
            </w:r>
            <w:r>
              <w:rPr>
                <w:rFonts w:ascii="Times New Roman" w:hAnsi="Times New Roman"/>
                <w:sz w:val="20"/>
                <w:szCs w:val="20"/>
              </w:rPr>
              <w:t>оссии подготовлена и размещена на сайте следующая информация:</w:t>
            </w:r>
          </w:p>
          <w:p w:rsidR="004F6CE2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="004F6CE2">
              <w:rPr>
                <w:rFonts w:ascii="Times New Roman" w:hAnsi="Times New Roman"/>
                <w:sz w:val="20"/>
                <w:szCs w:val="20"/>
              </w:rPr>
              <w:t>План деятельности ФНС России на 2017 год и Отчет о выполнении Плана деятельности ФНС России за 2016 год, утвержденные Министром финансов Российской Федерации;</w:t>
            </w:r>
          </w:p>
          <w:p w:rsidR="004F6CE2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="004F6CE2">
              <w:rPr>
                <w:rFonts w:ascii="Times New Roman" w:hAnsi="Times New Roman"/>
                <w:sz w:val="20"/>
                <w:szCs w:val="20"/>
              </w:rPr>
              <w:t>Публичная декларация целей и задач ФНС России на 2017 год, ежеквартальные отчеты о выполнении публичной декларации;</w:t>
            </w:r>
          </w:p>
          <w:p w:rsidR="004F6CE2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="004F6CE2">
              <w:rPr>
                <w:rFonts w:ascii="Times New Roman" w:hAnsi="Times New Roman"/>
                <w:sz w:val="20"/>
                <w:szCs w:val="20"/>
              </w:rPr>
              <w:t>Ведомственный план по реализации концепции открытости ФНС России на 2017 год;</w:t>
            </w:r>
          </w:p>
          <w:p w:rsidR="004F6CE2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="004F6CE2">
              <w:rPr>
                <w:rFonts w:ascii="Times New Roman" w:hAnsi="Times New Roman"/>
                <w:sz w:val="20"/>
                <w:szCs w:val="20"/>
              </w:rPr>
              <w:t>План на 2017 год и Отчет за 2016 год по расходованию средств на информационное сопровождение деятельности ФНС России;</w:t>
            </w:r>
          </w:p>
          <w:p w:rsidR="004F6CE2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="004F6CE2">
              <w:rPr>
                <w:rFonts w:ascii="Times New Roman" w:hAnsi="Times New Roman"/>
                <w:sz w:val="20"/>
                <w:szCs w:val="20"/>
              </w:rPr>
              <w:t xml:space="preserve">Стратегическая карта </w:t>
            </w:r>
            <w:r w:rsidR="00D15239">
              <w:rPr>
                <w:rFonts w:ascii="Times New Roman" w:hAnsi="Times New Roman"/>
                <w:sz w:val="20"/>
                <w:szCs w:val="20"/>
              </w:rPr>
              <w:t>ФНС России на 2017-2021</w:t>
            </w:r>
            <w:r w:rsidR="004F6CE2">
              <w:rPr>
                <w:rFonts w:ascii="Times New Roman" w:hAnsi="Times New Roman"/>
                <w:sz w:val="20"/>
                <w:szCs w:val="20"/>
              </w:rPr>
              <w:t xml:space="preserve"> гг.;</w:t>
            </w:r>
          </w:p>
          <w:p w:rsidR="004F6CE2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="00654719">
              <w:rPr>
                <w:rFonts w:ascii="Times New Roman" w:hAnsi="Times New Roman"/>
                <w:sz w:val="20"/>
                <w:szCs w:val="20"/>
              </w:rPr>
              <w:t>Информация о ходе выполнения мероприятий, предусмотренных планом по противодействию коррупции</w:t>
            </w:r>
            <w:r w:rsidR="004F6C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F6CE2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="004F6CE2">
              <w:rPr>
                <w:rFonts w:ascii="Times New Roman" w:hAnsi="Times New Roman"/>
                <w:sz w:val="20"/>
                <w:szCs w:val="20"/>
              </w:rPr>
              <w:t xml:space="preserve">Аналитические материалы по работе Службы </w:t>
            </w:r>
            <w:r>
              <w:rPr>
                <w:rFonts w:ascii="Times New Roman" w:hAnsi="Times New Roman"/>
                <w:sz w:val="20"/>
                <w:szCs w:val="20"/>
              </w:rPr>
              <w:t>по рассмотрению обращений граждан, подготовленные руководству ФНС России;</w:t>
            </w:r>
          </w:p>
          <w:p w:rsidR="00C24EDD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Новые наборы открытых данных с учетом востребованности г</w:t>
            </w:r>
            <w:r w:rsidR="00960B14">
              <w:rPr>
                <w:rFonts w:ascii="Times New Roman" w:hAnsi="Times New Roman"/>
                <w:sz w:val="20"/>
                <w:szCs w:val="20"/>
              </w:rPr>
              <w:t>ражданского и бизнес сообщества.</w:t>
            </w:r>
          </w:p>
          <w:p w:rsidR="00C24EDD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Также в рамках повышения уровня открытости ФНС России:</w:t>
            </w:r>
          </w:p>
          <w:p w:rsidR="00C24EDD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Разработаны интерактивные сервисы ФНС России;</w:t>
            </w:r>
          </w:p>
          <w:p w:rsidR="00C24EDD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Проведены заседания Общественного с</w:t>
            </w:r>
            <w:r w:rsidR="00120975">
              <w:rPr>
                <w:rFonts w:ascii="Times New Roman" w:hAnsi="Times New Roman"/>
                <w:sz w:val="20"/>
                <w:szCs w:val="20"/>
              </w:rPr>
              <w:t>овета при ФНС России (не менее четырех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год);</w:t>
            </w:r>
          </w:p>
          <w:p w:rsidR="00C24EDD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Пресс-службой ФНС России проведены:</w:t>
            </w:r>
          </w:p>
          <w:p w:rsidR="00C24EDD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Встречи с лидерами СМИ (пресс-клубы);</w:t>
            </w:r>
          </w:p>
          <w:p w:rsidR="00C24EDD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Специальные информационные кампании;</w:t>
            </w:r>
          </w:p>
          <w:p w:rsidR="00C24EDD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 Специализированные выпуски на телевидении в рамках программы «Налоги»;</w:t>
            </w:r>
          </w:p>
          <w:p w:rsidR="00C24EDD" w:rsidRPr="00207B2D" w:rsidRDefault="00C24EDD" w:rsidP="00E315D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Мониторинг СМИ</w:t>
            </w:r>
          </w:p>
          <w:p w:rsidR="00A43622" w:rsidRPr="00207B2D" w:rsidRDefault="00A43622" w:rsidP="005828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:rsidR="006F171F" w:rsidRDefault="00546A0D" w:rsidP="00E3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 Референтные группы ФНС России проинформированы;</w:t>
            </w:r>
          </w:p>
          <w:p w:rsidR="00546A0D" w:rsidRPr="006F171F" w:rsidRDefault="00546A0D" w:rsidP="00E3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Поручения Правительственной комиссии по координации деятельности открытого правительства выполнены в полном объеме и в установленный срок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43622" w:rsidRPr="00207B2D" w:rsidRDefault="007C0F9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A43622" w:rsidRPr="00207B2D" w:rsidRDefault="007C0F9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7C78" w:rsidRPr="00207B2D" w:rsidTr="00375638">
        <w:trPr>
          <w:gridAfter w:val="1"/>
          <w:wAfter w:w="446" w:type="dxa"/>
        </w:trPr>
        <w:tc>
          <w:tcPr>
            <w:tcW w:w="716" w:type="dxa"/>
            <w:gridSpan w:val="2"/>
          </w:tcPr>
          <w:p w:rsidR="00F67C78" w:rsidRPr="00A52EB5" w:rsidRDefault="00F67C78" w:rsidP="009C7E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2E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7" w:type="dxa"/>
            <w:vAlign w:val="center"/>
          </w:tcPr>
          <w:p w:rsidR="00F67C78" w:rsidRPr="000A19A7" w:rsidRDefault="00F67C78" w:rsidP="00AD5173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2E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Поддержка и контентное  наполнение сайта ФНС России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в том числе</w:t>
            </w:r>
            <w:r w:rsidRPr="000A19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95" w:type="dxa"/>
          </w:tcPr>
          <w:p w:rsidR="00F67C78" w:rsidRDefault="00F67C78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389">
              <w:rPr>
                <w:rFonts w:ascii="Times New Roman" w:hAnsi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/>
                <w:sz w:val="20"/>
                <w:szCs w:val="20"/>
              </w:rPr>
              <w:t>ния центрального аппарата Ф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НС России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67C78" w:rsidRPr="008D2736" w:rsidRDefault="00F67C78" w:rsidP="008D27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Управления ФНС России по субъектам Российской Федерации</w:t>
            </w:r>
          </w:p>
        </w:tc>
        <w:tc>
          <w:tcPr>
            <w:tcW w:w="1457" w:type="dxa"/>
          </w:tcPr>
          <w:p w:rsidR="00F67C78" w:rsidRPr="008D2736" w:rsidRDefault="00F67C78" w:rsidP="008D27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B30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276" w:type="dxa"/>
            <w:gridSpan w:val="2"/>
          </w:tcPr>
          <w:p w:rsidR="00F67C78" w:rsidRDefault="00F67C78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389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F67C78" w:rsidRPr="008D2736" w:rsidRDefault="00F67C78" w:rsidP="008D27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389">
              <w:rPr>
                <w:rFonts w:ascii="Times New Roman" w:hAnsi="Times New Roman"/>
                <w:sz w:val="20"/>
                <w:szCs w:val="20"/>
              </w:rPr>
              <w:t>постоянной основе</w:t>
            </w:r>
          </w:p>
        </w:tc>
        <w:tc>
          <w:tcPr>
            <w:tcW w:w="3686" w:type="dxa"/>
            <w:gridSpan w:val="2"/>
          </w:tcPr>
          <w:p w:rsidR="00F67C78" w:rsidRPr="00F24389" w:rsidRDefault="00F67C78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Повышение лояльности к налоговой службе;</w:t>
            </w:r>
          </w:p>
          <w:p w:rsidR="00F67C78" w:rsidRPr="00F24389" w:rsidRDefault="00F67C78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Упрощение процесса уплаты налогов;</w:t>
            </w:r>
          </w:p>
          <w:p w:rsidR="00F67C78" w:rsidRPr="00F24389" w:rsidRDefault="00F67C78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Улучшение интерфейсов интерактивных сервисов сайта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ФНС России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7C78" w:rsidRPr="00F24389" w:rsidRDefault="00F67C78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Сокращение звонков на горячую линию;</w:t>
            </w:r>
          </w:p>
          <w:p w:rsidR="00F67C78" w:rsidRPr="00F24389" w:rsidRDefault="00F67C78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Снижение нагрузки на территориальные налоговые органы при осуществлении государственных функций</w:t>
            </w:r>
            <w:r w:rsidRPr="00AC09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7C78" w:rsidRPr="00F24389" w:rsidRDefault="00F67C78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Вовлечение граждан в электронное взаимодействие посредством увеличения числа пользователей онлайн сервисов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ФНС России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7C78" w:rsidRPr="00F24389" w:rsidRDefault="00F67C78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Увеличение количества онлайн платежей по налогам и сборам;</w:t>
            </w:r>
          </w:p>
          <w:p w:rsidR="00F67C78" w:rsidRPr="00F24389" w:rsidRDefault="00F67C78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Увеличение дополнительных интерактивных сервисов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ФНС России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7C78" w:rsidRDefault="00F67C78" w:rsidP="00AC0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Увеличение  количества общедоступной информации в форме открытых данных</w:t>
            </w:r>
            <w:r w:rsidRPr="00B0599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7C78" w:rsidRDefault="00F67C78" w:rsidP="008D2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</w:tcPr>
          <w:p w:rsidR="00F67C78" w:rsidRDefault="00165D93" w:rsidP="003C6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посещений сайта в 2017 году составило 141,5 млн.</w:t>
            </w:r>
          </w:p>
          <w:p w:rsidR="00546A0D" w:rsidRDefault="00546A0D" w:rsidP="003C6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итогам 2017 года на сайте ФНС России размещено 62 набора открытых данных.</w:t>
            </w:r>
          </w:p>
          <w:p w:rsidR="00F67C78" w:rsidRPr="00965546" w:rsidRDefault="00F67C78" w:rsidP="003C6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3C6A5E" w:rsidRDefault="00190A22" w:rsidP="00190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F67C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772</w:t>
            </w:r>
            <w:r w:rsidR="00F67C78">
              <w:rPr>
                <w:rFonts w:ascii="Times New Roman" w:hAnsi="Times New Roman"/>
                <w:b/>
                <w:sz w:val="20"/>
                <w:szCs w:val="20"/>
              </w:rPr>
              <w:t xml:space="preserve"> 100,00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3C6A5E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A5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F67C78" w:rsidRPr="00207B2D" w:rsidTr="00375638">
        <w:trPr>
          <w:gridAfter w:val="1"/>
          <w:wAfter w:w="446" w:type="dxa"/>
          <w:trHeight w:val="2625"/>
        </w:trPr>
        <w:tc>
          <w:tcPr>
            <w:tcW w:w="716" w:type="dxa"/>
            <w:gridSpan w:val="2"/>
          </w:tcPr>
          <w:p w:rsidR="00F67C78" w:rsidRPr="00F24389" w:rsidRDefault="00F67C78" w:rsidP="0019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38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r w:rsidR="00190A2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7" w:type="dxa"/>
          </w:tcPr>
          <w:p w:rsidR="00F67C78" w:rsidRPr="008D2736" w:rsidRDefault="00F67C78" w:rsidP="001D45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7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Администрирование ПК «Транспортный сервис Интернет-сайта ФНС России» для предоставления налоговой и бухгалтерской отчетности через электронный сервис Федеральной налоговой службы</w:t>
            </w:r>
          </w:p>
        </w:tc>
        <w:tc>
          <w:tcPr>
            <w:tcW w:w="1695" w:type="dxa"/>
            <w:vMerge w:val="restart"/>
            <w:vAlign w:val="bottom"/>
          </w:tcPr>
          <w:p w:rsidR="00F67C78" w:rsidRPr="00207B2D" w:rsidRDefault="00F67C78" w:rsidP="007D7C19">
            <w:pPr>
              <w:spacing w:after="0" w:line="240" w:lineRule="auto"/>
              <w:jc w:val="right"/>
            </w:pPr>
          </w:p>
        </w:tc>
        <w:tc>
          <w:tcPr>
            <w:tcW w:w="1457" w:type="dxa"/>
            <w:vMerge w:val="restart"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gridSpan w:val="2"/>
            <w:vMerge w:val="restart"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vMerge w:val="restart"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3C6A5E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497 500,00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3C6A5E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A5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  <w:trHeight w:val="2325"/>
        </w:trPr>
        <w:tc>
          <w:tcPr>
            <w:tcW w:w="716" w:type="dxa"/>
            <w:gridSpan w:val="2"/>
          </w:tcPr>
          <w:p w:rsidR="00F67C78" w:rsidRPr="00F24389" w:rsidRDefault="00F67C78" w:rsidP="0019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3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3.1.</w:t>
            </w:r>
            <w:r w:rsidR="00190A2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7" w:type="dxa"/>
          </w:tcPr>
          <w:p w:rsidR="00F67C78" w:rsidRPr="008D2736" w:rsidRDefault="00F67C78" w:rsidP="001D45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7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Администрирование программных компонент инфраструктуры, обеспечивающей работоспособность электронных сервисов на основной и резервной площадках сайта ФНС Росси</w:t>
            </w:r>
          </w:p>
        </w:tc>
        <w:tc>
          <w:tcPr>
            <w:tcW w:w="1695" w:type="dxa"/>
            <w:vMerge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457" w:type="dxa"/>
            <w:vMerge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512409" w:rsidRDefault="00190A22" w:rsidP="0019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67C78" w:rsidRPr="0051240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67C78" w:rsidRPr="00512409"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0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  <w:trHeight w:val="2357"/>
        </w:trPr>
        <w:tc>
          <w:tcPr>
            <w:tcW w:w="716" w:type="dxa"/>
            <w:gridSpan w:val="2"/>
          </w:tcPr>
          <w:p w:rsidR="00F67C78" w:rsidRPr="008D2736" w:rsidRDefault="00F67C78" w:rsidP="0019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38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r w:rsidR="00190A2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7" w:type="dxa"/>
          </w:tcPr>
          <w:p w:rsidR="00F67C78" w:rsidRPr="008D2736" w:rsidRDefault="00F67C78" w:rsidP="008D2736">
            <w:r w:rsidRPr="008D2736">
              <w:rPr>
                <w:rFonts w:ascii="Times New Roman" w:hAnsi="Times New Roman"/>
                <w:sz w:val="20"/>
                <w:szCs w:val="20"/>
                <w:lang w:eastAsia="ru-RU"/>
              </w:rPr>
              <w:t>Верстка и размещение публикаций на сайте ФНС России (по заявкам). Администрирование шаблонов дизайна и структуры сайта ФНС России</w:t>
            </w:r>
          </w:p>
        </w:tc>
        <w:tc>
          <w:tcPr>
            <w:tcW w:w="1695" w:type="dxa"/>
            <w:vMerge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457" w:type="dxa"/>
            <w:vMerge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512409" w:rsidRDefault="00F67C78" w:rsidP="0051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09">
              <w:rPr>
                <w:rFonts w:ascii="Times New Roman" w:hAnsi="Times New Roman"/>
                <w:sz w:val="20"/>
                <w:szCs w:val="20"/>
              </w:rPr>
              <w:t>11 940 000,00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0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  <w:trHeight w:val="1033"/>
        </w:trPr>
        <w:tc>
          <w:tcPr>
            <w:tcW w:w="716" w:type="dxa"/>
            <w:gridSpan w:val="2"/>
          </w:tcPr>
          <w:p w:rsidR="00F67C78" w:rsidRPr="00363EFE" w:rsidRDefault="00F67C78" w:rsidP="0019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EFE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r w:rsidR="00190A2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7" w:type="dxa"/>
          </w:tcPr>
          <w:p w:rsidR="00F67C78" w:rsidRPr="008D2736" w:rsidRDefault="00F67C78" w:rsidP="00A9671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7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Администрирование прикладных сервисов сайта ФНС России</w:t>
            </w:r>
          </w:p>
        </w:tc>
        <w:tc>
          <w:tcPr>
            <w:tcW w:w="1695" w:type="dxa"/>
            <w:vMerge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457" w:type="dxa"/>
            <w:vMerge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11 024 600,00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</w:trPr>
        <w:tc>
          <w:tcPr>
            <w:tcW w:w="716" w:type="dxa"/>
            <w:gridSpan w:val="2"/>
          </w:tcPr>
          <w:p w:rsidR="00F67C78" w:rsidRPr="00F24389" w:rsidRDefault="00F67C78" w:rsidP="0019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38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r w:rsidR="00190A2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7" w:type="dxa"/>
          </w:tcPr>
          <w:p w:rsidR="00F67C78" w:rsidRPr="008D2736" w:rsidRDefault="00F67C78" w:rsidP="00A9671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736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в актуальном состоянии на Интернет-сайте ФНС России Справочника налоговой и бухгалтерской отчетности (шаблоны, форматы, инструкции, xsd-схемы)</w:t>
            </w:r>
          </w:p>
        </w:tc>
        <w:tc>
          <w:tcPr>
            <w:tcW w:w="1695" w:type="dxa"/>
            <w:vMerge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457" w:type="dxa"/>
            <w:vMerge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vMerge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512409" w:rsidRDefault="00F67C78" w:rsidP="0051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09">
              <w:rPr>
                <w:rFonts w:ascii="Times New Roman" w:hAnsi="Times New Roman"/>
                <w:sz w:val="20"/>
                <w:szCs w:val="20"/>
              </w:rPr>
              <w:t>5 9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512409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0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</w:trPr>
        <w:tc>
          <w:tcPr>
            <w:tcW w:w="716" w:type="dxa"/>
            <w:gridSpan w:val="2"/>
          </w:tcPr>
          <w:p w:rsidR="00F67C78" w:rsidRPr="00093774" w:rsidRDefault="00F67C78" w:rsidP="007A11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37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7" w:type="dxa"/>
            <w:vAlign w:val="bottom"/>
          </w:tcPr>
          <w:p w:rsidR="00F67C78" w:rsidRPr="00093774" w:rsidRDefault="00F67C78" w:rsidP="009C7E9F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37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Поддержка, контентное наполнение специализированных/тематических публичных информационных ресурсов на сайте ФНС России, в том числе:</w:t>
            </w:r>
          </w:p>
        </w:tc>
        <w:tc>
          <w:tcPr>
            <w:tcW w:w="1695" w:type="dxa"/>
            <w:vMerge w:val="restart"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457" w:type="dxa"/>
            <w:vMerge w:val="restart"/>
            <w:vAlign w:val="bottom"/>
          </w:tcPr>
          <w:p w:rsidR="00F67C78" w:rsidRPr="00207B2D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gridSpan w:val="2"/>
            <w:vMerge w:val="restart"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vMerge w:val="restart"/>
          </w:tcPr>
          <w:p w:rsidR="00F67C78" w:rsidRPr="00207B2D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512409" w:rsidRDefault="007033AC" w:rsidP="00703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59 025 972</w:t>
            </w:r>
            <w:r w:rsidR="00F67C78" w:rsidRPr="0051240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0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  <w:trHeight w:val="1085"/>
        </w:trPr>
        <w:tc>
          <w:tcPr>
            <w:tcW w:w="716" w:type="dxa"/>
            <w:gridSpan w:val="2"/>
          </w:tcPr>
          <w:p w:rsidR="00F67C78" w:rsidRPr="0046268C" w:rsidRDefault="00F67C78" w:rsidP="0094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7" w:type="dxa"/>
          </w:tcPr>
          <w:p w:rsidR="00F67C78" w:rsidRPr="00512409" w:rsidRDefault="00F67C78" w:rsidP="008A66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прикладного ПО интерактивных сервисов официального сайта ФНС России</w:t>
            </w:r>
          </w:p>
        </w:tc>
        <w:tc>
          <w:tcPr>
            <w:tcW w:w="1695" w:type="dxa"/>
            <w:vMerge/>
          </w:tcPr>
          <w:p w:rsidR="00F67C78" w:rsidRPr="001126E0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</w:tcPr>
          <w:p w:rsidR="00F67C78" w:rsidRPr="004D5BDD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67C78" w:rsidRPr="004D5BDD" w:rsidRDefault="00F67C78" w:rsidP="009C7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</w:tcPr>
          <w:p w:rsidR="00F67C78" w:rsidRPr="004D5BDD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2"/>
            <w:vMerge/>
          </w:tcPr>
          <w:p w:rsidR="00F67C78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512409" w:rsidRDefault="00F67C78" w:rsidP="0070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  <w:r w:rsidR="007033AC">
              <w:rPr>
                <w:rFonts w:ascii="Times New Roman" w:hAnsi="Times New Roman"/>
                <w:sz w:val="20"/>
                <w:szCs w:val="20"/>
                <w:lang w:eastAsia="ru-RU"/>
              </w:rPr>
              <w:t> 192 745</w:t>
            </w: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7033AC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</w:trPr>
        <w:tc>
          <w:tcPr>
            <w:tcW w:w="716" w:type="dxa"/>
            <w:gridSpan w:val="2"/>
          </w:tcPr>
          <w:p w:rsidR="00F67C78" w:rsidRPr="0046268C" w:rsidRDefault="00F67C78" w:rsidP="0094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7" w:type="dxa"/>
          </w:tcPr>
          <w:p w:rsidR="00F67C78" w:rsidRPr="00512409" w:rsidRDefault="00F67C78" w:rsidP="008A66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интерактивного сервиса «Личный кабинет налогоплательщика для физических лиц»</w:t>
            </w:r>
          </w:p>
        </w:tc>
        <w:tc>
          <w:tcPr>
            <w:tcW w:w="1695" w:type="dxa"/>
            <w:vMerge/>
          </w:tcPr>
          <w:p w:rsidR="00F67C78" w:rsidRPr="001126E0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</w:tcPr>
          <w:p w:rsidR="00F67C78" w:rsidRPr="004D5BDD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67C78" w:rsidRPr="004D5BDD" w:rsidRDefault="00F67C78" w:rsidP="009C7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</w:tcPr>
          <w:p w:rsidR="00F67C78" w:rsidRPr="004D5BDD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2"/>
            <w:vMerge/>
          </w:tcPr>
          <w:p w:rsidR="00F67C78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512409" w:rsidRDefault="00F67C78" w:rsidP="0070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7033AC">
              <w:rPr>
                <w:rFonts w:ascii="Times New Roman" w:hAnsi="Times New Roman"/>
                <w:sz w:val="20"/>
                <w:szCs w:val="20"/>
                <w:lang w:eastAsia="ru-RU"/>
              </w:rPr>
              <w:t> 184 160,00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  <w:trHeight w:val="1544"/>
        </w:trPr>
        <w:tc>
          <w:tcPr>
            <w:tcW w:w="716" w:type="dxa"/>
            <w:gridSpan w:val="2"/>
          </w:tcPr>
          <w:p w:rsidR="00F67C78" w:rsidRPr="0046268C" w:rsidRDefault="00F67C78" w:rsidP="0094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7" w:type="dxa"/>
          </w:tcPr>
          <w:p w:rsidR="00F67C78" w:rsidRPr="00512409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интерактивного сервиса «Личный кабинет налогоплательщика индивидуального предпринимателя»</w:t>
            </w:r>
          </w:p>
        </w:tc>
        <w:tc>
          <w:tcPr>
            <w:tcW w:w="1695" w:type="dxa"/>
            <w:vMerge/>
          </w:tcPr>
          <w:p w:rsidR="00F67C78" w:rsidRPr="001126E0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</w:tcPr>
          <w:p w:rsidR="00F67C78" w:rsidRPr="004D5BDD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67C78" w:rsidRPr="004D5BDD" w:rsidRDefault="00F67C78" w:rsidP="009C7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</w:tcPr>
          <w:p w:rsidR="00F67C78" w:rsidRPr="004D5BDD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2"/>
            <w:vMerge/>
          </w:tcPr>
          <w:p w:rsidR="00F67C78" w:rsidRDefault="00F67C78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512409" w:rsidRDefault="00F67C78" w:rsidP="0070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 </w:t>
            </w:r>
            <w:r w:rsidR="007033A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89 </w:t>
            </w:r>
            <w:r w:rsidR="007033AC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  <w:trHeight w:val="1313"/>
        </w:trPr>
        <w:tc>
          <w:tcPr>
            <w:tcW w:w="716" w:type="dxa"/>
            <w:gridSpan w:val="2"/>
          </w:tcPr>
          <w:p w:rsidR="00F67C78" w:rsidRPr="0046268C" w:rsidRDefault="00F67C78" w:rsidP="0094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477" w:type="dxa"/>
            <w:vAlign w:val="center"/>
          </w:tcPr>
          <w:p w:rsidR="00F67C78" w:rsidRPr="008D2736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C2A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интерактивного сервиса «Личный кабинет налогоплательщика юридического лица»</w:t>
            </w:r>
          </w:p>
        </w:tc>
        <w:tc>
          <w:tcPr>
            <w:tcW w:w="1695" w:type="dxa"/>
            <w:vMerge/>
          </w:tcPr>
          <w:p w:rsidR="00F67C78" w:rsidRPr="001126E0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</w:tcPr>
          <w:p w:rsidR="00F67C78" w:rsidRPr="004D5BDD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67C78" w:rsidRPr="004D5BDD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</w:tcPr>
          <w:p w:rsidR="00F67C78" w:rsidRPr="004D5BDD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2"/>
            <w:vMerge/>
          </w:tcPr>
          <w:p w:rsidR="00F67C78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F67C78" w:rsidRPr="00512409" w:rsidRDefault="00F67C78" w:rsidP="007033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</w:t>
            </w:r>
            <w:r w:rsidR="007033AC">
              <w:rPr>
                <w:rFonts w:ascii="Times New Roman" w:hAnsi="Times New Roman"/>
                <w:sz w:val="20"/>
                <w:szCs w:val="20"/>
                <w:lang w:eastAsia="ru-RU"/>
              </w:rPr>
              <w:t>859</w:t>
            </w: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33AC"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033AC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:rsidR="00F67C78" w:rsidRPr="00512409" w:rsidRDefault="00F67C78" w:rsidP="00B16A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</w:tr>
      <w:tr w:rsidR="00F67C78" w:rsidRPr="00512409" w:rsidTr="00D054D0">
        <w:trPr>
          <w:gridAfter w:val="1"/>
          <w:wAfter w:w="446" w:type="dxa"/>
        </w:trPr>
        <w:tc>
          <w:tcPr>
            <w:tcW w:w="716" w:type="dxa"/>
            <w:gridSpan w:val="2"/>
          </w:tcPr>
          <w:p w:rsidR="00F67C78" w:rsidRPr="00512409" w:rsidRDefault="00F67C78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2477" w:type="dxa"/>
          </w:tcPr>
          <w:p w:rsidR="00F67C78" w:rsidRPr="00512409" w:rsidRDefault="00F67C78" w:rsidP="00512409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</w:tc>
        <w:tc>
          <w:tcPr>
            <w:tcW w:w="1695" w:type="dxa"/>
          </w:tcPr>
          <w:p w:rsidR="00F67C78" w:rsidRPr="001126E0" w:rsidRDefault="004D2CA2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1457" w:type="dxa"/>
            <w:shd w:val="clear" w:color="auto" w:fill="auto"/>
          </w:tcPr>
          <w:p w:rsidR="00F67C78" w:rsidRPr="00512409" w:rsidRDefault="004D2CA2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  <w:gridSpan w:val="2"/>
          </w:tcPr>
          <w:p w:rsidR="00F67C78" w:rsidRPr="002E0A0C" w:rsidRDefault="004D2CA2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F67C78" w:rsidRPr="005C5E6E" w:rsidRDefault="004D2CA2" w:rsidP="0095359C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Популяризация среди референтных групп ФНС России </w:t>
            </w:r>
            <w:r w:rsidR="0029141C">
              <w:rPr>
                <w:rFonts w:ascii="Times New Roman" w:hAnsi="Times New Roman"/>
                <w:sz w:val="20"/>
                <w:szCs w:val="20"/>
                <w:lang w:eastAsia="ru-RU"/>
              </w:rPr>
              <w:t>общедоступных сведений ФНС 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оссии, продвижение открытых данных Службы, повышение уровня открытости ФНС России и, как следствие, увеличение коли</w:t>
            </w:r>
            <w:r w:rsidR="006D11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чества налогоплательщиков, положительно оценивающих качество работы налоговых органов, позволило ФНС России значительно улучшить свои показатели в ежеквартальном рейтинге публикации органами государственной власти информации в формате открытых данных, проводимом Аналитическим центром при Правительстве Российской Федерации, рейтинге открытости федеральных органов исполнительной </w:t>
            </w:r>
            <w:r w:rsidR="006D11A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власти, проводимом Всероссийским центром изучения общественного мнения совместно с Открытым правительством, рейтинге Минэкономразвития России,</w:t>
            </w:r>
            <w:r w:rsidR="005C5E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официальных сайтов федеральных органов исполнительной власти, размещенных на сайте </w:t>
            </w:r>
            <w:r w:rsidR="005C5E6E">
              <w:rPr>
                <w:rFonts w:ascii="Times New Roman" w:hAnsi="Times New Roman"/>
                <w:sz w:val="20"/>
                <w:szCs w:val="20"/>
                <w:lang w:val="en-US" w:eastAsia="ru-RU"/>
              </w:rPr>
              <w:t>gosmonitor</w:t>
            </w:r>
            <w:r w:rsidR="005C5E6E" w:rsidRPr="005C5E6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C5E6E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2092" w:type="dxa"/>
            <w:gridSpan w:val="2"/>
          </w:tcPr>
          <w:p w:rsidR="00233390" w:rsidRDefault="00233390" w:rsidP="009535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39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  <w:r w:rsidRPr="0095359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результатам рейтинга, проводимого Аналитическим центром при Правительстве Российской Федерации, ФНС России поднялась с 10 места по итогам </w:t>
            </w:r>
            <w:r w:rsidRPr="0095359C">
              <w:rPr>
                <w:rFonts w:ascii="Times New Roman" w:hAnsi="Times New Roman"/>
                <w:sz w:val="20"/>
                <w:szCs w:val="20"/>
                <w:lang w:eastAsia="ru-RU"/>
              </w:rPr>
              <w:t>I</w:t>
            </w:r>
            <w:r w:rsidRPr="002333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квартала 2017 года на 1 место по итогам </w:t>
            </w:r>
            <w:r w:rsidRPr="0095359C">
              <w:rPr>
                <w:rFonts w:ascii="Times New Roman" w:hAnsi="Times New Roman"/>
                <w:sz w:val="20"/>
                <w:szCs w:val="20"/>
                <w:lang w:eastAsia="ru-RU"/>
              </w:rPr>
              <w:t>IV</w:t>
            </w:r>
            <w:r w:rsidRPr="002333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квартала 2017 года;</w:t>
            </w:r>
          </w:p>
          <w:p w:rsidR="00233390" w:rsidRPr="00233390" w:rsidRDefault="00233390" w:rsidP="009535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  <w:r w:rsidRPr="002333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результатам самообследования ФНС России набрала 343,5 балла из 430 </w:t>
            </w:r>
            <w:r w:rsidRPr="0023339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возможных и заняла 4-е место среди 60 федеральных органов исполнительной власти (ФОИВ)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(2016 год);</w:t>
            </w:r>
          </w:p>
          <w:p w:rsidR="00233390" w:rsidRDefault="00233390" w:rsidP="009535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 </w:t>
            </w:r>
            <w:r w:rsidRPr="00233390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Индексу организационно-техническая готовность качества организации работы с открытыми данными ФНС России находится на 25 месте из 51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(2017 год)</w:t>
            </w:r>
            <w:r w:rsidR="0029141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9141C" w:rsidRPr="00950D2C" w:rsidRDefault="0029141C" w:rsidP="009535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По результатам анализа рейтинга Минэкономразвития России, проводимого в отношении оценки комплексных показателей официальных сайтов федеральных органов исполнительной власти, размещенных на сайте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gosmonitor</w:t>
            </w:r>
            <w:r w:rsidRPr="002914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r w:rsidR="00950D2C">
              <w:rPr>
                <w:rFonts w:ascii="Times New Roman" w:hAnsi="Times New Roman"/>
                <w:sz w:val="20"/>
                <w:szCs w:val="20"/>
                <w:lang w:eastAsia="ru-RU"/>
              </w:rPr>
              <w:t>, ФНС России вошла в список топ-10 лучших сайтов рейтинга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F67C78" w:rsidRPr="00512409" w:rsidRDefault="0032543C" w:rsidP="00B16A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:rsidR="00F67C78" w:rsidRPr="00512409" w:rsidRDefault="0032543C" w:rsidP="00B16A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C78" w:rsidRPr="00512409" w:rsidTr="004B5EB4">
        <w:trPr>
          <w:gridAfter w:val="1"/>
          <w:wAfter w:w="446" w:type="dxa"/>
        </w:trPr>
        <w:tc>
          <w:tcPr>
            <w:tcW w:w="716" w:type="dxa"/>
            <w:gridSpan w:val="2"/>
          </w:tcPr>
          <w:p w:rsidR="00F67C78" w:rsidRPr="00512409" w:rsidRDefault="00F67C78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V.</w:t>
            </w:r>
          </w:p>
        </w:tc>
        <w:tc>
          <w:tcPr>
            <w:tcW w:w="2477" w:type="dxa"/>
            <w:vAlign w:val="bottom"/>
          </w:tcPr>
          <w:p w:rsidR="00F67C78" w:rsidRPr="00512409" w:rsidRDefault="00F67C78" w:rsidP="00512409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67C78" w:rsidRPr="00E73E8F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E8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67C78" w:rsidRPr="00512409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E8F">
              <w:rPr>
                <w:rFonts w:ascii="Times New Roman" w:hAnsi="Times New Roman"/>
                <w:sz w:val="20"/>
                <w:szCs w:val="20"/>
                <w:lang w:eastAsia="ru-RU"/>
              </w:rPr>
              <w:t>Сотрудники ФНС России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67C78" w:rsidRPr="00512409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AA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F67C78" w:rsidRPr="00377AA7" w:rsidRDefault="00F67C78" w:rsidP="0095359C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AA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Осуществляется своевременная информированность сотрудников ФНС России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посредством наполнения базы знаний Интранет портала ФНС России </w:t>
            </w:r>
          </w:p>
        </w:tc>
        <w:tc>
          <w:tcPr>
            <w:tcW w:w="2092" w:type="dxa"/>
            <w:gridSpan w:val="2"/>
          </w:tcPr>
          <w:p w:rsidR="00F67C78" w:rsidRPr="00377AA7" w:rsidRDefault="004B5EB4" w:rsidP="004B5EB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F67C78" w:rsidRPr="00512409" w:rsidRDefault="00F67C78" w:rsidP="00B16A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:rsidR="00F67C78" w:rsidRPr="00512409" w:rsidRDefault="00F67C78" w:rsidP="00B16A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C78" w:rsidRPr="00512409" w:rsidTr="00375638">
        <w:trPr>
          <w:gridAfter w:val="1"/>
          <w:wAfter w:w="446" w:type="dxa"/>
          <w:trHeight w:val="1375"/>
        </w:trPr>
        <w:tc>
          <w:tcPr>
            <w:tcW w:w="716" w:type="dxa"/>
            <w:gridSpan w:val="2"/>
          </w:tcPr>
          <w:p w:rsidR="00F67C78" w:rsidRPr="008D2736" w:rsidRDefault="00F67C78" w:rsidP="000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2477" w:type="dxa"/>
          </w:tcPr>
          <w:p w:rsidR="00F67C78" w:rsidRPr="00EC7996" w:rsidRDefault="00F67C78" w:rsidP="00EC79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99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Администрирование интранет-портала ФНС России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67C78" w:rsidRPr="00E73E8F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E8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67C78" w:rsidRPr="00E73E8F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E8F">
              <w:rPr>
                <w:rFonts w:ascii="Times New Roman" w:hAnsi="Times New Roman"/>
                <w:sz w:val="20"/>
                <w:szCs w:val="20"/>
                <w:lang w:eastAsia="ru-RU"/>
              </w:rPr>
              <w:t>Сотрудники ФНС России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67C78" w:rsidRPr="00377AA7" w:rsidRDefault="00F67C78" w:rsidP="005124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AA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F67C78" w:rsidRPr="00377AA7" w:rsidRDefault="00F67C78" w:rsidP="0095359C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AA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Осуществляется своевременная информированность сотрудников ФНС России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посредством наполнения базы знаний Интранет портала ФНС России</w:t>
            </w:r>
          </w:p>
        </w:tc>
        <w:tc>
          <w:tcPr>
            <w:tcW w:w="2092" w:type="dxa"/>
            <w:gridSpan w:val="2"/>
          </w:tcPr>
          <w:p w:rsidR="00F67C78" w:rsidRPr="00377AA7" w:rsidRDefault="00F67C78" w:rsidP="0051240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bottom"/>
          </w:tcPr>
          <w:p w:rsidR="00F67C78" w:rsidRPr="00EC7996" w:rsidRDefault="00F67C78" w:rsidP="00B16A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79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885" w:type="dxa"/>
            <w:gridSpan w:val="3"/>
            <w:shd w:val="clear" w:color="auto" w:fill="FFFFFF" w:themeFill="background1"/>
            <w:vAlign w:val="bottom"/>
          </w:tcPr>
          <w:p w:rsidR="00F67C78" w:rsidRPr="00512409" w:rsidRDefault="00F67C78" w:rsidP="00B16A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409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</w:tr>
      <w:tr w:rsidR="00F67C78" w:rsidRPr="00512409" w:rsidTr="00375638">
        <w:trPr>
          <w:gridAfter w:val="1"/>
          <w:wAfter w:w="446" w:type="dxa"/>
          <w:trHeight w:val="316"/>
        </w:trPr>
        <w:tc>
          <w:tcPr>
            <w:tcW w:w="716" w:type="dxa"/>
            <w:gridSpan w:val="2"/>
            <w:tcBorders>
              <w:left w:val="nil"/>
              <w:bottom w:val="nil"/>
              <w:right w:val="nil"/>
            </w:tcBorders>
          </w:tcPr>
          <w:p w:rsidR="00F67C78" w:rsidRPr="00207B2D" w:rsidRDefault="00F67C78" w:rsidP="00A4362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left w:val="nil"/>
              <w:bottom w:val="nil"/>
              <w:right w:val="nil"/>
            </w:tcBorders>
            <w:vAlign w:val="bottom"/>
          </w:tcPr>
          <w:p w:rsidR="00F67C78" w:rsidRPr="00207B2D" w:rsidRDefault="00F67C78" w:rsidP="00A4362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7C78" w:rsidRPr="00207B2D" w:rsidRDefault="00F67C78" w:rsidP="00A43622">
            <w:pPr>
              <w:spacing w:after="0" w:line="240" w:lineRule="auto"/>
              <w:jc w:val="right"/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7C78" w:rsidRPr="00207B2D" w:rsidRDefault="00F67C78" w:rsidP="00A4362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F67C78" w:rsidRPr="00207B2D" w:rsidRDefault="00F67C78" w:rsidP="00A436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7B2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686" w:type="dxa"/>
            <w:gridSpan w:val="2"/>
          </w:tcPr>
          <w:p w:rsidR="00F67C78" w:rsidRPr="00207B2D" w:rsidRDefault="00F67C78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:rsidR="00F67C78" w:rsidRPr="00207B2D" w:rsidRDefault="00F67C78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C78" w:rsidRPr="00B16A65" w:rsidRDefault="00F67C78" w:rsidP="00703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A6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90A2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B16A6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7033AC">
              <w:rPr>
                <w:rFonts w:ascii="Times New Roman" w:hAnsi="Times New Roman"/>
                <w:b/>
                <w:sz w:val="20"/>
                <w:szCs w:val="20"/>
              </w:rPr>
              <w:t>788</w:t>
            </w:r>
            <w:r w:rsidRPr="00B16A6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7033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Pr="00B16A6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033AC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885" w:type="dxa"/>
            <w:gridSpan w:val="3"/>
            <w:tcBorders>
              <w:bottom w:val="nil"/>
              <w:right w:val="nil"/>
            </w:tcBorders>
            <w:vAlign w:val="center"/>
          </w:tcPr>
          <w:p w:rsidR="00F67C78" w:rsidRPr="00512409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C78" w:rsidRPr="00207B2D" w:rsidTr="004D1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798" w:type="dxa"/>
        </w:trPr>
        <w:tc>
          <w:tcPr>
            <w:tcW w:w="7513" w:type="dxa"/>
            <w:gridSpan w:val="6"/>
          </w:tcPr>
          <w:p w:rsidR="00F67C78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р</w:t>
            </w:r>
            <w:r w:rsidRPr="00207B2D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67C78" w:rsidRPr="00EE41AF" w:rsidRDefault="00F67C78" w:rsidP="00EE41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41AF">
              <w:rPr>
                <w:rFonts w:ascii="Times New Roman" w:hAnsi="Times New Roman" w:cs="Times New Roman"/>
                <w:u w:val="single"/>
              </w:rPr>
              <w:t xml:space="preserve">ФНС России       </w:t>
            </w:r>
            <w:r w:rsidRPr="00EE41A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4DE8">
              <w:rPr>
                <w:rFonts w:ascii="Times New Roman" w:hAnsi="Times New Roman" w:cs="Times New Roman"/>
              </w:rPr>
              <w:t xml:space="preserve">________________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6D4DE8">
              <w:rPr>
                <w:rFonts w:ascii="Times New Roman" w:hAnsi="Times New Roman" w:cs="Times New Roman"/>
                <w:u w:val="single"/>
              </w:rPr>
              <w:t>А.С. Петрушин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67C78" w:rsidRPr="00207B2D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(должность)              </w:t>
            </w:r>
            <w:r w:rsidRPr="00207B2D">
              <w:rPr>
                <w:rFonts w:ascii="Times New Roman" w:hAnsi="Times New Roman" w:cs="Times New Roman"/>
              </w:rPr>
              <w:t xml:space="preserve">(подпись)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207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07B2D">
              <w:rPr>
                <w:rFonts w:ascii="Times New Roman" w:hAnsi="Times New Roman" w:cs="Times New Roman"/>
              </w:rPr>
              <w:t>(расшифровка подписи)</w:t>
            </w:r>
          </w:p>
          <w:p w:rsidR="00F67C78" w:rsidRPr="00207B2D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67C78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67C78" w:rsidRDefault="00F67C78" w:rsidP="007563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67C78" w:rsidRPr="00207B2D" w:rsidRDefault="00F67C78" w:rsidP="007563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Виза ответственного за реализацию Концепции открытости федерального органа исполнительной власти </w:t>
            </w:r>
          </w:p>
        </w:tc>
        <w:tc>
          <w:tcPr>
            <w:tcW w:w="7870" w:type="dxa"/>
            <w:gridSpan w:val="9"/>
          </w:tcPr>
          <w:p w:rsidR="00F67C78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67C78" w:rsidRPr="005F446C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207B2D">
              <w:rPr>
                <w:rFonts w:ascii="Times New Roman" w:hAnsi="Times New Roman" w:cs="Times New Roman"/>
              </w:rPr>
              <w:t>Исполнитель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207B2D">
              <w:rPr>
                <w:rFonts w:ascii="Times New Roman" w:hAnsi="Times New Roman" w:cs="Times New Roman"/>
              </w:rPr>
              <w:t xml:space="preserve"> </w:t>
            </w:r>
            <w:r w:rsidRPr="005F446C">
              <w:rPr>
                <w:rFonts w:ascii="Times New Roman" w:hAnsi="Times New Roman" w:cs="Times New Roman"/>
                <w:u w:val="single"/>
              </w:rPr>
              <w:t>Зам.нач.отд.</w:t>
            </w:r>
            <w:r>
              <w:rPr>
                <w:rFonts w:ascii="Times New Roman" w:hAnsi="Times New Roman" w:cs="Times New Roman"/>
              </w:rPr>
              <w:t xml:space="preserve">     ________             </w:t>
            </w:r>
            <w:r w:rsidRPr="00893DEF">
              <w:rPr>
                <w:rFonts w:ascii="Times New Roman" w:hAnsi="Times New Roman" w:cs="Times New Roman"/>
                <w:u w:val="single"/>
              </w:rPr>
              <w:t xml:space="preserve">О.Е. Белова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F446C">
              <w:rPr>
                <w:rFonts w:ascii="Times New Roman" w:hAnsi="Times New Roman" w:cs="Times New Roman"/>
                <w:u w:val="single"/>
              </w:rPr>
              <w:t>913-04-04</w:t>
            </w:r>
          </w:p>
          <w:p w:rsidR="00F67C78" w:rsidRPr="00207B2D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   (телефон)                                         </w:t>
            </w:r>
          </w:p>
          <w:p w:rsidR="00F67C78" w:rsidRPr="00207B2D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67C78" w:rsidRPr="00D011EB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4251F7">
              <w:rPr>
                <w:rFonts w:ascii="Times New Roman" w:hAnsi="Times New Roman" w:cs="Times New Roman"/>
                <w:u w:val="single"/>
              </w:rPr>
              <w:t>Нач. отд.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251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________            </w:t>
            </w:r>
            <w:r w:rsidR="004251F7">
              <w:rPr>
                <w:rFonts w:ascii="Times New Roman" w:hAnsi="Times New Roman" w:cs="Times New Roman"/>
                <w:u w:val="single"/>
              </w:rPr>
              <w:t>Ю.Ю</w:t>
            </w:r>
            <w:r w:rsidRPr="0075632A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251F7">
              <w:rPr>
                <w:rFonts w:ascii="Times New Roman" w:hAnsi="Times New Roman" w:cs="Times New Roman"/>
                <w:u w:val="single"/>
              </w:rPr>
              <w:t>Духовнова</w:t>
            </w:r>
            <w:r w:rsidR="004251F7">
              <w:rPr>
                <w:rFonts w:ascii="Times New Roman" w:hAnsi="Times New Roman" w:cs="Times New Roman"/>
              </w:rPr>
              <w:t xml:space="preserve">       </w:t>
            </w:r>
            <w:r w:rsidR="004251F7">
              <w:rPr>
                <w:rFonts w:ascii="Times New Roman" w:hAnsi="Times New Roman" w:cs="Times New Roman"/>
                <w:u w:val="single"/>
              </w:rPr>
              <w:t>913-04-09</w:t>
            </w:r>
          </w:p>
          <w:p w:rsidR="00F67C78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(должность)     (подпись)      (расшифровка подписи) </w:t>
            </w:r>
          </w:p>
          <w:p w:rsidR="00F67C78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67C78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стандартов </w:t>
            </w:r>
          </w:p>
          <w:p w:rsidR="00F67C78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международного сотрудничества                                                        Д.В. Вольвач</w:t>
            </w:r>
          </w:p>
          <w:p w:rsidR="00F67C78" w:rsidRPr="00482CF1" w:rsidRDefault="00F67C78" w:rsidP="00482C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____________</w:t>
            </w:r>
            <w:r w:rsidRPr="00482CF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207B2D">
              <w:rPr>
                <w:rFonts w:ascii="Times New Roman" w:hAnsi="Times New Roman" w:cs="Times New Roman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 xml:space="preserve">          ____________________</w:t>
            </w:r>
          </w:p>
          <w:p w:rsidR="00F67C78" w:rsidRPr="00207B2D" w:rsidRDefault="00F67C78" w:rsidP="00C029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(должность)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207B2D">
              <w:rPr>
                <w:rFonts w:ascii="Times New Roman" w:hAnsi="Times New Roman" w:cs="Times New Roman"/>
              </w:rPr>
              <w:t xml:space="preserve">(подпись)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07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(</w:t>
            </w:r>
            <w:r w:rsidRPr="00207B2D">
              <w:rPr>
                <w:rFonts w:ascii="Times New Roman" w:hAnsi="Times New Roman" w:cs="Times New Roman"/>
              </w:rPr>
              <w:t>расшифровка подписи)</w:t>
            </w:r>
          </w:p>
        </w:tc>
      </w:tr>
    </w:tbl>
    <w:p w:rsidR="00893DEF" w:rsidRPr="00C02962" w:rsidRDefault="002F579A" w:rsidP="00482C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C029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C02962" w:rsidRPr="00C02962">
        <w:rPr>
          <w:rFonts w:ascii="Times New Roman" w:hAnsi="Times New Roman" w:cs="Times New Roman"/>
        </w:rPr>
        <w:t xml:space="preserve">  </w:t>
      </w:r>
      <w:r w:rsidR="009C3658">
        <w:rPr>
          <w:rFonts w:ascii="Times New Roman" w:hAnsi="Times New Roman" w:cs="Times New Roman"/>
        </w:rPr>
        <w:t xml:space="preserve"> </w:t>
      </w:r>
      <w:r w:rsidR="00893DEF" w:rsidRPr="00C02962">
        <w:rPr>
          <w:rFonts w:ascii="Times New Roman" w:hAnsi="Times New Roman" w:cs="Times New Roman"/>
        </w:rPr>
        <w:t xml:space="preserve">"    </w:t>
      </w:r>
      <w:r w:rsidR="00482CF1">
        <w:rPr>
          <w:rFonts w:ascii="Times New Roman" w:hAnsi="Times New Roman" w:cs="Times New Roman"/>
        </w:rPr>
        <w:t xml:space="preserve">       </w:t>
      </w:r>
      <w:r w:rsidR="00893DEF" w:rsidRPr="00C02962">
        <w:rPr>
          <w:rFonts w:ascii="Times New Roman" w:hAnsi="Times New Roman" w:cs="Times New Roman"/>
        </w:rPr>
        <w:t xml:space="preserve">" </w:t>
      </w:r>
      <w:r w:rsidR="009C3658">
        <w:rPr>
          <w:rFonts w:ascii="Times New Roman" w:hAnsi="Times New Roman" w:cs="Times New Roman"/>
        </w:rPr>
        <w:t xml:space="preserve"> </w:t>
      </w:r>
      <w:r w:rsidR="00893DEF" w:rsidRPr="00C02962">
        <w:rPr>
          <w:rFonts w:ascii="Times New Roman" w:hAnsi="Times New Roman" w:cs="Times New Roman"/>
        </w:rPr>
        <w:t>01</w:t>
      </w:r>
      <w:r w:rsidR="00482CF1">
        <w:rPr>
          <w:rFonts w:ascii="Times New Roman" w:hAnsi="Times New Roman" w:cs="Times New Roman"/>
        </w:rPr>
        <w:t>.</w:t>
      </w:r>
      <w:r w:rsidR="00893DEF" w:rsidRPr="00C02962">
        <w:rPr>
          <w:rFonts w:ascii="Times New Roman" w:hAnsi="Times New Roman" w:cs="Times New Roman"/>
        </w:rPr>
        <w:t xml:space="preserve">  201</w:t>
      </w:r>
      <w:r w:rsidR="008C3887">
        <w:rPr>
          <w:rFonts w:ascii="Times New Roman" w:hAnsi="Times New Roman" w:cs="Times New Roman"/>
        </w:rPr>
        <w:t>8</w:t>
      </w:r>
      <w:r w:rsidR="00893DEF" w:rsidRPr="00C02962">
        <w:rPr>
          <w:rFonts w:ascii="Times New Roman" w:hAnsi="Times New Roman" w:cs="Times New Roman"/>
        </w:rPr>
        <w:t xml:space="preserve"> г.</w:t>
      </w:r>
    </w:p>
    <w:sectPr w:rsidR="00893DEF" w:rsidRPr="00C02962" w:rsidSect="00777A01">
      <w:headerReference w:type="first" r:id="rId8"/>
      <w:pgSz w:w="16838" w:h="11906" w:orient="landscape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ED" w:rsidRDefault="00A737ED">
      <w:pPr>
        <w:spacing w:after="0" w:line="240" w:lineRule="auto"/>
      </w:pPr>
      <w:r>
        <w:separator/>
      </w:r>
    </w:p>
  </w:endnote>
  <w:endnote w:type="continuationSeparator" w:id="0">
    <w:p w:rsidR="00A737ED" w:rsidRDefault="00A7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ED" w:rsidRDefault="00A737ED">
      <w:pPr>
        <w:spacing w:after="0" w:line="240" w:lineRule="auto"/>
      </w:pPr>
      <w:r>
        <w:separator/>
      </w:r>
    </w:p>
  </w:footnote>
  <w:footnote w:type="continuationSeparator" w:id="0">
    <w:p w:rsidR="00A737ED" w:rsidRDefault="00A7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CE" w:rsidRDefault="008A30CE">
    <w:pPr>
      <w:pStyle w:val="a4"/>
      <w:jc w:val="center"/>
    </w:pPr>
  </w:p>
  <w:p w:rsidR="008A30CE" w:rsidRDefault="008A30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540C52"/>
    <w:multiLevelType w:val="hybridMultilevel"/>
    <w:tmpl w:val="5AC24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A"/>
    <w:rsid w:val="000034BE"/>
    <w:rsid w:val="00011303"/>
    <w:rsid w:val="00020A3C"/>
    <w:rsid w:val="00034216"/>
    <w:rsid w:val="00037F8A"/>
    <w:rsid w:val="00042092"/>
    <w:rsid w:val="000441E0"/>
    <w:rsid w:val="000461F4"/>
    <w:rsid w:val="00046EAE"/>
    <w:rsid w:val="000615B8"/>
    <w:rsid w:val="00061F81"/>
    <w:rsid w:val="00073702"/>
    <w:rsid w:val="0008288C"/>
    <w:rsid w:val="000878F4"/>
    <w:rsid w:val="00090A79"/>
    <w:rsid w:val="00093774"/>
    <w:rsid w:val="000A148D"/>
    <w:rsid w:val="000A19A7"/>
    <w:rsid w:val="000A4F16"/>
    <w:rsid w:val="000A697B"/>
    <w:rsid w:val="000A70E6"/>
    <w:rsid w:val="000A735E"/>
    <w:rsid w:val="000B2FBE"/>
    <w:rsid w:val="000C5396"/>
    <w:rsid w:val="000C7B87"/>
    <w:rsid w:val="000E0AC8"/>
    <w:rsid w:val="000F3819"/>
    <w:rsid w:val="001126E0"/>
    <w:rsid w:val="00112F72"/>
    <w:rsid w:val="0011333B"/>
    <w:rsid w:val="00114CF8"/>
    <w:rsid w:val="00120975"/>
    <w:rsid w:val="00151ACB"/>
    <w:rsid w:val="001572F4"/>
    <w:rsid w:val="001626C9"/>
    <w:rsid w:val="00165D93"/>
    <w:rsid w:val="00167846"/>
    <w:rsid w:val="00190A22"/>
    <w:rsid w:val="00191244"/>
    <w:rsid w:val="001A60C3"/>
    <w:rsid w:val="001C3233"/>
    <w:rsid w:val="001C40BC"/>
    <w:rsid w:val="001D7A6B"/>
    <w:rsid w:val="001E2211"/>
    <w:rsid w:val="001F07B4"/>
    <w:rsid w:val="00202B24"/>
    <w:rsid w:val="002067DF"/>
    <w:rsid w:val="00207B2D"/>
    <w:rsid w:val="002134BD"/>
    <w:rsid w:val="00216834"/>
    <w:rsid w:val="00230DD3"/>
    <w:rsid w:val="00233390"/>
    <w:rsid w:val="0023615D"/>
    <w:rsid w:val="00236E0F"/>
    <w:rsid w:val="0023718A"/>
    <w:rsid w:val="0024294C"/>
    <w:rsid w:val="002545D8"/>
    <w:rsid w:val="00257C29"/>
    <w:rsid w:val="002643E8"/>
    <w:rsid w:val="00264BC9"/>
    <w:rsid w:val="0027214C"/>
    <w:rsid w:val="0027492B"/>
    <w:rsid w:val="0029141C"/>
    <w:rsid w:val="0029158B"/>
    <w:rsid w:val="002938DD"/>
    <w:rsid w:val="0029582A"/>
    <w:rsid w:val="002A3563"/>
    <w:rsid w:val="002E0A0C"/>
    <w:rsid w:val="002E216B"/>
    <w:rsid w:val="002E4D66"/>
    <w:rsid w:val="002F579A"/>
    <w:rsid w:val="003001F9"/>
    <w:rsid w:val="00305A20"/>
    <w:rsid w:val="003224E6"/>
    <w:rsid w:val="0032543C"/>
    <w:rsid w:val="00330433"/>
    <w:rsid w:val="00337F53"/>
    <w:rsid w:val="0035658F"/>
    <w:rsid w:val="00357AE7"/>
    <w:rsid w:val="00363EFE"/>
    <w:rsid w:val="003672AD"/>
    <w:rsid w:val="00375638"/>
    <w:rsid w:val="00377AA7"/>
    <w:rsid w:val="00386628"/>
    <w:rsid w:val="003A10B6"/>
    <w:rsid w:val="003B344B"/>
    <w:rsid w:val="003C6A5E"/>
    <w:rsid w:val="003C6C30"/>
    <w:rsid w:val="003C7A18"/>
    <w:rsid w:val="003E16B0"/>
    <w:rsid w:val="003F5E49"/>
    <w:rsid w:val="00405FB7"/>
    <w:rsid w:val="00406EC8"/>
    <w:rsid w:val="00410FBE"/>
    <w:rsid w:val="004251F7"/>
    <w:rsid w:val="00426A3B"/>
    <w:rsid w:val="00427B75"/>
    <w:rsid w:val="00430744"/>
    <w:rsid w:val="004621CC"/>
    <w:rsid w:val="0046268C"/>
    <w:rsid w:val="0047084E"/>
    <w:rsid w:val="00480063"/>
    <w:rsid w:val="00481E6E"/>
    <w:rsid w:val="00482CF1"/>
    <w:rsid w:val="00495E95"/>
    <w:rsid w:val="004B0F4A"/>
    <w:rsid w:val="004B5EB4"/>
    <w:rsid w:val="004D040C"/>
    <w:rsid w:val="004D10D0"/>
    <w:rsid w:val="004D2B0E"/>
    <w:rsid w:val="004D2CA2"/>
    <w:rsid w:val="004D5BDD"/>
    <w:rsid w:val="004E0F87"/>
    <w:rsid w:val="004E1906"/>
    <w:rsid w:val="004E4B1E"/>
    <w:rsid w:val="004F6CE2"/>
    <w:rsid w:val="00501D8B"/>
    <w:rsid w:val="00503097"/>
    <w:rsid w:val="00512409"/>
    <w:rsid w:val="005126E2"/>
    <w:rsid w:val="005340D5"/>
    <w:rsid w:val="00546A0D"/>
    <w:rsid w:val="0054722E"/>
    <w:rsid w:val="005478C0"/>
    <w:rsid w:val="0055217D"/>
    <w:rsid w:val="00554436"/>
    <w:rsid w:val="00556B22"/>
    <w:rsid w:val="00565E3E"/>
    <w:rsid w:val="00565E56"/>
    <w:rsid w:val="00580911"/>
    <w:rsid w:val="005809C5"/>
    <w:rsid w:val="005828B3"/>
    <w:rsid w:val="0058490B"/>
    <w:rsid w:val="005A0E81"/>
    <w:rsid w:val="005A5B10"/>
    <w:rsid w:val="005B094B"/>
    <w:rsid w:val="005B585C"/>
    <w:rsid w:val="005B7535"/>
    <w:rsid w:val="005C5E6E"/>
    <w:rsid w:val="005D1E42"/>
    <w:rsid w:val="005D424C"/>
    <w:rsid w:val="005E0862"/>
    <w:rsid w:val="005E16F2"/>
    <w:rsid w:val="005E2B4B"/>
    <w:rsid w:val="005E40B1"/>
    <w:rsid w:val="005F3D4A"/>
    <w:rsid w:val="005F446C"/>
    <w:rsid w:val="00627504"/>
    <w:rsid w:val="00647481"/>
    <w:rsid w:val="00654719"/>
    <w:rsid w:val="00660344"/>
    <w:rsid w:val="00664493"/>
    <w:rsid w:val="00665978"/>
    <w:rsid w:val="00667EBF"/>
    <w:rsid w:val="00675C82"/>
    <w:rsid w:val="006866FD"/>
    <w:rsid w:val="0069428D"/>
    <w:rsid w:val="00695649"/>
    <w:rsid w:val="006A2416"/>
    <w:rsid w:val="006A4963"/>
    <w:rsid w:val="006A5BF1"/>
    <w:rsid w:val="006A7AB5"/>
    <w:rsid w:val="006D11AC"/>
    <w:rsid w:val="006D4DE8"/>
    <w:rsid w:val="006D5F1B"/>
    <w:rsid w:val="006E40E3"/>
    <w:rsid w:val="006E56D8"/>
    <w:rsid w:val="006F073D"/>
    <w:rsid w:val="006F0A9D"/>
    <w:rsid w:val="006F1540"/>
    <w:rsid w:val="006F171F"/>
    <w:rsid w:val="006F2EFD"/>
    <w:rsid w:val="007021E8"/>
    <w:rsid w:val="007033AC"/>
    <w:rsid w:val="00710DDB"/>
    <w:rsid w:val="00737F37"/>
    <w:rsid w:val="0075632A"/>
    <w:rsid w:val="00777A01"/>
    <w:rsid w:val="00780ADC"/>
    <w:rsid w:val="0078211E"/>
    <w:rsid w:val="00785C4C"/>
    <w:rsid w:val="00794445"/>
    <w:rsid w:val="0079693E"/>
    <w:rsid w:val="007A115B"/>
    <w:rsid w:val="007A1B5C"/>
    <w:rsid w:val="007A52A9"/>
    <w:rsid w:val="007A5E2C"/>
    <w:rsid w:val="007A7AC2"/>
    <w:rsid w:val="007B0BD0"/>
    <w:rsid w:val="007C0F98"/>
    <w:rsid w:val="007C41BB"/>
    <w:rsid w:val="007D3E8B"/>
    <w:rsid w:val="007D567A"/>
    <w:rsid w:val="007E1EB3"/>
    <w:rsid w:val="007E35B2"/>
    <w:rsid w:val="007E7767"/>
    <w:rsid w:val="007F1BB6"/>
    <w:rsid w:val="007F23DE"/>
    <w:rsid w:val="007F5B51"/>
    <w:rsid w:val="00803E1D"/>
    <w:rsid w:val="008141A7"/>
    <w:rsid w:val="00820468"/>
    <w:rsid w:val="00820F1E"/>
    <w:rsid w:val="00821BFD"/>
    <w:rsid w:val="00841155"/>
    <w:rsid w:val="008501B9"/>
    <w:rsid w:val="00853555"/>
    <w:rsid w:val="00860C9A"/>
    <w:rsid w:val="00861EB3"/>
    <w:rsid w:val="008624A4"/>
    <w:rsid w:val="0086423A"/>
    <w:rsid w:val="00871660"/>
    <w:rsid w:val="00874107"/>
    <w:rsid w:val="00885575"/>
    <w:rsid w:val="00886AA8"/>
    <w:rsid w:val="00893DEF"/>
    <w:rsid w:val="0089615F"/>
    <w:rsid w:val="00897B32"/>
    <w:rsid w:val="008A30CE"/>
    <w:rsid w:val="008B3BCC"/>
    <w:rsid w:val="008B61E6"/>
    <w:rsid w:val="008C3887"/>
    <w:rsid w:val="008D2736"/>
    <w:rsid w:val="008D4F26"/>
    <w:rsid w:val="008D5636"/>
    <w:rsid w:val="008F3265"/>
    <w:rsid w:val="0090148B"/>
    <w:rsid w:val="009104A4"/>
    <w:rsid w:val="009252C8"/>
    <w:rsid w:val="009334FC"/>
    <w:rsid w:val="00935530"/>
    <w:rsid w:val="00941616"/>
    <w:rsid w:val="00950D2C"/>
    <w:rsid w:val="0095202F"/>
    <w:rsid w:val="0095359C"/>
    <w:rsid w:val="009554E8"/>
    <w:rsid w:val="00960B14"/>
    <w:rsid w:val="00965546"/>
    <w:rsid w:val="00971702"/>
    <w:rsid w:val="00974237"/>
    <w:rsid w:val="00974976"/>
    <w:rsid w:val="0097564A"/>
    <w:rsid w:val="00975774"/>
    <w:rsid w:val="00997B73"/>
    <w:rsid w:val="009A23E4"/>
    <w:rsid w:val="009B3B57"/>
    <w:rsid w:val="009B4B30"/>
    <w:rsid w:val="009C1653"/>
    <w:rsid w:val="009C3658"/>
    <w:rsid w:val="009C7E9F"/>
    <w:rsid w:val="009D52CE"/>
    <w:rsid w:val="009E0713"/>
    <w:rsid w:val="009E66B4"/>
    <w:rsid w:val="00A10CFB"/>
    <w:rsid w:val="00A14F6A"/>
    <w:rsid w:val="00A173D2"/>
    <w:rsid w:val="00A20F0F"/>
    <w:rsid w:val="00A26320"/>
    <w:rsid w:val="00A26D55"/>
    <w:rsid w:val="00A27958"/>
    <w:rsid w:val="00A32606"/>
    <w:rsid w:val="00A43622"/>
    <w:rsid w:val="00A47301"/>
    <w:rsid w:val="00A5064B"/>
    <w:rsid w:val="00A52A59"/>
    <w:rsid w:val="00A52EB5"/>
    <w:rsid w:val="00A64F50"/>
    <w:rsid w:val="00A6610F"/>
    <w:rsid w:val="00A732A0"/>
    <w:rsid w:val="00A737ED"/>
    <w:rsid w:val="00A930F9"/>
    <w:rsid w:val="00A942AA"/>
    <w:rsid w:val="00A94E40"/>
    <w:rsid w:val="00A97F0F"/>
    <w:rsid w:val="00AA16E0"/>
    <w:rsid w:val="00AA49FB"/>
    <w:rsid w:val="00AC0997"/>
    <w:rsid w:val="00AC210B"/>
    <w:rsid w:val="00AC2703"/>
    <w:rsid w:val="00AC69AC"/>
    <w:rsid w:val="00AD1E04"/>
    <w:rsid w:val="00AD2AE4"/>
    <w:rsid w:val="00AD5173"/>
    <w:rsid w:val="00AF2E4F"/>
    <w:rsid w:val="00AF4079"/>
    <w:rsid w:val="00AF43A9"/>
    <w:rsid w:val="00B00FE8"/>
    <w:rsid w:val="00B03E6E"/>
    <w:rsid w:val="00B05996"/>
    <w:rsid w:val="00B10681"/>
    <w:rsid w:val="00B16A65"/>
    <w:rsid w:val="00B2454D"/>
    <w:rsid w:val="00B36967"/>
    <w:rsid w:val="00B37CA5"/>
    <w:rsid w:val="00B40270"/>
    <w:rsid w:val="00B52F3C"/>
    <w:rsid w:val="00B622B6"/>
    <w:rsid w:val="00B71A7C"/>
    <w:rsid w:val="00B75A87"/>
    <w:rsid w:val="00B77F27"/>
    <w:rsid w:val="00B8146E"/>
    <w:rsid w:val="00B83329"/>
    <w:rsid w:val="00B95E06"/>
    <w:rsid w:val="00B976BC"/>
    <w:rsid w:val="00BA10B1"/>
    <w:rsid w:val="00BB14E9"/>
    <w:rsid w:val="00BB552B"/>
    <w:rsid w:val="00BB7FE5"/>
    <w:rsid w:val="00BD08D5"/>
    <w:rsid w:val="00BD1418"/>
    <w:rsid w:val="00C02962"/>
    <w:rsid w:val="00C150BE"/>
    <w:rsid w:val="00C24EDD"/>
    <w:rsid w:val="00C45012"/>
    <w:rsid w:val="00C47879"/>
    <w:rsid w:val="00C54D1C"/>
    <w:rsid w:val="00C65158"/>
    <w:rsid w:val="00C677EE"/>
    <w:rsid w:val="00C778D9"/>
    <w:rsid w:val="00C86F3B"/>
    <w:rsid w:val="00CA3997"/>
    <w:rsid w:val="00CB1D23"/>
    <w:rsid w:val="00CC2B19"/>
    <w:rsid w:val="00CC3401"/>
    <w:rsid w:val="00CD6F93"/>
    <w:rsid w:val="00CD7A17"/>
    <w:rsid w:val="00CE161B"/>
    <w:rsid w:val="00CF52AF"/>
    <w:rsid w:val="00CF5940"/>
    <w:rsid w:val="00D011EB"/>
    <w:rsid w:val="00D054D0"/>
    <w:rsid w:val="00D12A75"/>
    <w:rsid w:val="00D15239"/>
    <w:rsid w:val="00D25A56"/>
    <w:rsid w:val="00D2603D"/>
    <w:rsid w:val="00D34C16"/>
    <w:rsid w:val="00D4146C"/>
    <w:rsid w:val="00D45916"/>
    <w:rsid w:val="00D55D2A"/>
    <w:rsid w:val="00D85B77"/>
    <w:rsid w:val="00D91715"/>
    <w:rsid w:val="00D922B7"/>
    <w:rsid w:val="00DA2BB2"/>
    <w:rsid w:val="00DA4243"/>
    <w:rsid w:val="00DC4EA8"/>
    <w:rsid w:val="00DC534A"/>
    <w:rsid w:val="00DD2C3D"/>
    <w:rsid w:val="00DE2346"/>
    <w:rsid w:val="00DE37A9"/>
    <w:rsid w:val="00DE38A9"/>
    <w:rsid w:val="00DE5358"/>
    <w:rsid w:val="00DE7607"/>
    <w:rsid w:val="00DF0E3D"/>
    <w:rsid w:val="00DF246A"/>
    <w:rsid w:val="00E02762"/>
    <w:rsid w:val="00E02BBF"/>
    <w:rsid w:val="00E203CE"/>
    <w:rsid w:val="00E315DD"/>
    <w:rsid w:val="00E45DE7"/>
    <w:rsid w:val="00E51654"/>
    <w:rsid w:val="00E52AD7"/>
    <w:rsid w:val="00E6435C"/>
    <w:rsid w:val="00E6538D"/>
    <w:rsid w:val="00E6745E"/>
    <w:rsid w:val="00E67C5C"/>
    <w:rsid w:val="00E73E8F"/>
    <w:rsid w:val="00E81BF5"/>
    <w:rsid w:val="00E82925"/>
    <w:rsid w:val="00E93073"/>
    <w:rsid w:val="00E95B18"/>
    <w:rsid w:val="00EB237B"/>
    <w:rsid w:val="00EC309F"/>
    <w:rsid w:val="00EC7996"/>
    <w:rsid w:val="00EE41AF"/>
    <w:rsid w:val="00EE554C"/>
    <w:rsid w:val="00EE5C43"/>
    <w:rsid w:val="00EF1275"/>
    <w:rsid w:val="00EF5BDD"/>
    <w:rsid w:val="00F12131"/>
    <w:rsid w:val="00F130ED"/>
    <w:rsid w:val="00F15E69"/>
    <w:rsid w:val="00F2256F"/>
    <w:rsid w:val="00F24389"/>
    <w:rsid w:val="00F430C0"/>
    <w:rsid w:val="00F65163"/>
    <w:rsid w:val="00F67C78"/>
    <w:rsid w:val="00F703C1"/>
    <w:rsid w:val="00F73A9E"/>
    <w:rsid w:val="00F84D08"/>
    <w:rsid w:val="00FA0C2A"/>
    <w:rsid w:val="00FB32ED"/>
    <w:rsid w:val="00FE2C22"/>
    <w:rsid w:val="00FE664F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6FDD975-DCD1-44D1-BC46-DD11FD7E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2134B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134B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e">
    <w:name w:val="Hyperlink"/>
    <w:basedOn w:val="a0"/>
    <w:uiPriority w:val="99"/>
    <w:unhideWhenUsed/>
    <w:rsid w:val="00E73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550A-53F5-4DCB-A80D-FF4972F9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ТУРАНОВ ТИМУР МАХМУДОВИЧ</dc:creator>
  <cp:lastModifiedBy>Целищев Олег Игоревич</cp:lastModifiedBy>
  <cp:revision>22</cp:revision>
  <cp:lastPrinted>2018-02-27T11:57:00Z</cp:lastPrinted>
  <dcterms:created xsi:type="dcterms:W3CDTF">2018-02-27T09:50:00Z</dcterms:created>
  <dcterms:modified xsi:type="dcterms:W3CDTF">2018-02-28T12:38:00Z</dcterms:modified>
</cp:coreProperties>
</file>